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8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6095"/>
        <w:gridCol w:w="4536"/>
        <w:gridCol w:w="1701"/>
      </w:tblGrid>
      <w:tr w:rsidR="00C53A7D" w:rsidRPr="00774B08" w:rsidTr="00C53A7D">
        <w:trPr>
          <w:trHeight w:hRule="exact" w:val="431"/>
        </w:trPr>
        <w:tc>
          <w:tcPr>
            <w:tcW w:w="148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A7D" w:rsidRPr="00C53A7D" w:rsidRDefault="00C53A7D" w:rsidP="00774B08">
            <w:pPr>
              <w:framePr w:w="15144" w:h="9077" w:wrap="none" w:vAnchor="page" w:hAnchor="page" w:x="826" w:y="1516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774B08">
              <w:rPr>
                <w:rFonts w:ascii="Times New Roman" w:hAnsi="Times New Roman" w:cs="Times New Roman"/>
              </w:rPr>
              <w:t xml:space="preserve">Оценка кадровых условий реализации основной образовательной программы дошкольного образования </w:t>
            </w:r>
            <w:r w:rsidRPr="0097434D">
              <w:rPr>
                <w:rStyle w:val="28"/>
                <w:rFonts w:eastAsiaTheme="majorEastAsia"/>
                <w:b w:val="0"/>
                <w:i w:val="0"/>
                <w:sz w:val="24"/>
                <w:szCs w:val="24"/>
                <w:u w:val="none"/>
              </w:rPr>
              <w:t>(ООПДО</w:t>
            </w:r>
            <w:r>
              <w:rPr>
                <w:rStyle w:val="28"/>
                <w:rFonts w:eastAsiaTheme="majorEastAsia"/>
                <w:b w:val="0"/>
                <w:i w:val="0"/>
                <w:sz w:val="24"/>
                <w:szCs w:val="24"/>
                <w:u w:val="none"/>
              </w:rPr>
              <w:t>)</w:t>
            </w:r>
          </w:p>
        </w:tc>
      </w:tr>
      <w:tr w:rsidR="00C53A7D" w:rsidRPr="00774B08" w:rsidTr="00C53A7D">
        <w:trPr>
          <w:trHeight w:hRule="exact" w:val="81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3A7D" w:rsidRPr="00774B08" w:rsidRDefault="00C53A7D" w:rsidP="00C53A7D">
            <w:pPr>
              <w:framePr w:w="15144" w:h="9077" w:wrap="none" w:vAnchor="page" w:hAnchor="page" w:x="826" w:y="1516"/>
              <w:spacing w:line="264" w:lineRule="exact"/>
              <w:ind w:left="420"/>
            </w:pPr>
            <w:r w:rsidRPr="00774B08">
              <w:rPr>
                <w:rStyle w:val="211pt"/>
                <w:rFonts w:eastAsiaTheme="majorEastAsia"/>
                <w:sz w:val="24"/>
                <w:szCs w:val="24"/>
              </w:rPr>
              <w:t>Показатели оценки кадровых условий реализации ООП ДОО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A7D" w:rsidRPr="00774B08" w:rsidRDefault="00C53A7D" w:rsidP="00C53A7D">
            <w:pPr>
              <w:framePr w:w="15144" w:h="9077" w:wrap="none" w:vAnchor="page" w:hAnchor="page" w:x="826" w:y="1516"/>
              <w:spacing w:line="220" w:lineRule="exact"/>
              <w:jc w:val="center"/>
            </w:pPr>
            <w:r w:rsidRPr="00774B08">
              <w:rPr>
                <w:rStyle w:val="211pt"/>
                <w:rFonts w:eastAsiaTheme="majorEastAsia"/>
                <w:sz w:val="24"/>
                <w:szCs w:val="24"/>
              </w:rPr>
              <w:t>Критерии оценки кадровых условий реализации ООП ДОО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A7D" w:rsidRPr="00774B08" w:rsidRDefault="00C53A7D" w:rsidP="00C53A7D">
            <w:pPr>
              <w:framePr w:w="15144" w:h="9077" w:wrap="none" w:vAnchor="page" w:hAnchor="page" w:x="826" w:y="1516"/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774B08">
              <w:rPr>
                <w:rFonts w:ascii="Times New Roman" w:hAnsi="Times New Roman" w:cs="Times New Roman"/>
                <w:i/>
              </w:rPr>
              <w:t>Показатели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3A7D" w:rsidRPr="00774B08" w:rsidRDefault="00C53A7D" w:rsidP="00C53A7D">
            <w:pPr>
              <w:framePr w:w="15144" w:h="9077" w:wrap="none" w:vAnchor="page" w:hAnchor="page" w:x="826" w:y="1516"/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Фактическое значение</w:t>
            </w:r>
          </w:p>
        </w:tc>
      </w:tr>
      <w:tr w:rsidR="00774B08" w:rsidRPr="00774B08" w:rsidTr="00C53A7D">
        <w:trPr>
          <w:trHeight w:hRule="exact" w:val="1179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298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Уровень образования педагогических работников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307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имеющих высшее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50-70 % - 2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Менее 50% - 1 балл 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b/>
                <w:color w:val="FF0000"/>
              </w:rPr>
            </w:pPr>
            <w:r w:rsidRPr="00774B08">
              <w:rPr>
                <w:rStyle w:val="212pt1"/>
                <w:rFonts w:eastAsia="Arial Unicode MS"/>
              </w:rPr>
              <w:t xml:space="preserve">Не имеется 0 баллов </w:t>
            </w:r>
            <w:r w:rsidRPr="00774B08">
              <w:rPr>
                <w:rStyle w:val="212pt1"/>
                <w:rFonts w:eastAsia="Arial Unicode MS"/>
                <w:b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08" w:rsidRPr="00E823DA" w:rsidRDefault="009D62EA" w:rsidP="00E823DA">
            <w:pPr>
              <w:framePr w:w="15144" w:h="9077" w:wrap="none" w:vAnchor="page" w:hAnchor="page" w:x="826" w:y="1516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774B08" w:rsidRPr="00774B08" w:rsidTr="00C53A7D">
        <w:trPr>
          <w:trHeight w:hRule="exact" w:val="1276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302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имеющих высшее образование педагогической направленности (соответствие профиля образования)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50-70 % - 2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Менее 50% - 1 балл 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b/>
                <w:color w:val="FF0000"/>
              </w:rPr>
            </w:pPr>
            <w:r w:rsidRPr="00774B08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08" w:rsidRPr="00E823DA" w:rsidRDefault="009D62EA" w:rsidP="00E823DA">
            <w:pPr>
              <w:framePr w:w="15144" w:h="9077" w:wrap="none" w:vAnchor="page" w:hAnchor="page" w:x="826" w:y="1516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774B08" w:rsidRPr="00774B08" w:rsidTr="00C53A7D">
        <w:trPr>
          <w:trHeight w:hRule="exact" w:val="1129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307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50-70 % - 2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Менее 50% - 1 балл 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b/>
                <w:color w:val="FF0000"/>
              </w:rPr>
            </w:pPr>
            <w:r w:rsidRPr="00774B08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08" w:rsidRPr="00E823DA" w:rsidRDefault="009D62EA" w:rsidP="00E823DA">
            <w:pPr>
              <w:framePr w:w="15144" w:h="9077" w:wrap="none" w:vAnchor="page" w:hAnchor="page" w:x="826" w:y="1516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>
              <w:rPr>
                <w:rStyle w:val="212pt1"/>
                <w:rFonts w:eastAsia="Arial Unicode MS"/>
                <w:b/>
                <w:color w:val="FF0000"/>
              </w:rPr>
              <w:t>2</w:t>
            </w:r>
          </w:p>
        </w:tc>
      </w:tr>
      <w:tr w:rsidR="00774B08" w:rsidRPr="00774B08" w:rsidTr="00C53A7D">
        <w:trPr>
          <w:trHeight w:hRule="exact" w:val="1278"/>
        </w:trPr>
        <w:tc>
          <w:tcPr>
            <w:tcW w:w="2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302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имеющих среднее профессиональное образование педагогической направленности (соответствие профиля образования)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50-70 % - 2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Менее 50% - 1 балл 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b/>
                <w:color w:val="FF0000"/>
              </w:rPr>
            </w:pPr>
            <w:r w:rsidRPr="00774B08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08" w:rsidRPr="00E823DA" w:rsidRDefault="00E823DA" w:rsidP="00E823DA">
            <w:pPr>
              <w:framePr w:w="15144" w:h="9077" w:wrap="none" w:vAnchor="page" w:hAnchor="page" w:x="826" w:y="1516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774B08" w:rsidRPr="00774B08" w:rsidTr="00C53A7D">
        <w:trPr>
          <w:trHeight w:hRule="exact" w:val="1694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298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Квалификация педагогических работников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298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педагогических работников, соответствующих требованиям 100 % - 3 балла 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>90-99 % - 2 балла</w:t>
            </w:r>
          </w:p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 Менее 90% - 1 балл 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b/>
                <w:color w:val="FF0000"/>
              </w:rPr>
            </w:pPr>
            <w:r w:rsidRPr="00774B08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08" w:rsidRPr="00E823DA" w:rsidRDefault="00E823DA" w:rsidP="00E823DA">
            <w:pPr>
              <w:framePr w:w="15144" w:h="9077" w:wrap="none" w:vAnchor="page" w:hAnchor="page" w:x="826" w:y="1516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774B08" w:rsidRPr="00774B08" w:rsidTr="00C53A7D">
        <w:trPr>
          <w:trHeight w:hRule="exact" w:val="1590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08" w:rsidRPr="00774B08" w:rsidRDefault="00774B08" w:rsidP="00774B08">
            <w:pPr>
              <w:framePr w:w="15144" w:h="9077" w:wrap="none" w:vAnchor="page" w:hAnchor="page" w:x="826" w:y="1516"/>
              <w:spacing w:line="298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прошедших аттестацию на соответствие занимаемой должности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98" w:lineRule="exact"/>
            </w:pPr>
            <w:r w:rsidRPr="00774B08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которым по результатам аттестации присвоена высшая 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 xml:space="preserve">Имеют высшую и первую категорию более 70 % - 3 балла 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rStyle w:val="212pt1"/>
                <w:rFonts w:eastAsia="Arial Unicode MS"/>
              </w:rPr>
            </w:pPr>
            <w:r w:rsidRPr="00774B08">
              <w:rPr>
                <w:rStyle w:val="212pt1"/>
                <w:rFonts w:eastAsia="Arial Unicode MS"/>
              </w:rPr>
              <w:t>Имеют высшую и первую категорию более 50 % - 2 балла</w:t>
            </w:r>
          </w:p>
          <w:p w:rsidR="00774B08" w:rsidRPr="00774B08" w:rsidRDefault="00774B08" w:rsidP="00774B08">
            <w:pPr>
              <w:framePr w:w="15144" w:h="9077" w:wrap="none" w:vAnchor="page" w:hAnchor="page" w:x="826" w:y="1516"/>
              <w:spacing w:line="264" w:lineRule="exact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B08" w:rsidRPr="00E823DA" w:rsidRDefault="00E823DA" w:rsidP="00E823DA">
            <w:pPr>
              <w:framePr w:w="15144" w:h="9077" w:wrap="none" w:vAnchor="page" w:hAnchor="page" w:x="826" w:y="1516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</w:tbl>
    <w:p w:rsidR="00774B08" w:rsidRDefault="00774B08" w:rsidP="00774B08">
      <w:pPr>
        <w:rPr>
          <w:sz w:val="2"/>
          <w:szCs w:val="2"/>
        </w:rPr>
        <w:sectPr w:rsidR="00774B0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04"/>
        <w:gridCol w:w="5811"/>
        <w:gridCol w:w="4536"/>
        <w:gridCol w:w="1701"/>
      </w:tblGrid>
      <w:tr w:rsidR="00E823DA" w:rsidRPr="00E823DA" w:rsidTr="00C53A7D">
        <w:trPr>
          <w:trHeight w:hRule="exact" w:val="1002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которым по результатам аттестации присвоена первая квалификационная категория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Имеют высшую и первую категорию более 30 % - 1 балла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имеют категории - 0 балла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</w:p>
        </w:tc>
      </w:tr>
      <w:tr w:rsidR="00E823DA" w:rsidRPr="00E823DA" w:rsidTr="00C53A7D">
        <w:trPr>
          <w:trHeight w:hRule="exact" w:val="1837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9D62EA">
            <w:pPr>
              <w:framePr w:w="15086" w:h="9758" w:wrap="none" w:vAnchor="page" w:hAnchor="page" w:x="911" w:y="847"/>
              <w:spacing w:line="298" w:lineRule="exact"/>
              <w:rPr>
                <w:rFonts w:ascii="Times New Roman" w:hAnsi="Times New Roman" w:cs="Times New Roman"/>
              </w:rPr>
            </w:pPr>
            <w:proofErr w:type="gramStart"/>
            <w:r w:rsidRPr="00E823DA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</w:rPr>
            </w:pP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80-100 % - 3 балла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60-79 % - 2 балла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Менее 60% - 1 балл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086" w:h="9758" w:wrap="none" w:vAnchor="page" w:hAnchor="page" w:x="911" w:y="847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9D62E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E823DA" w:rsidRPr="00E823DA" w:rsidTr="00C53A7D">
        <w:trPr>
          <w:trHeight w:hRule="exact" w:val="1556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Доля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80-100 % - 3 балла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60-79 % - 2 балла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Менее 60% - 1 балл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086" w:h="9758" w:wrap="none" w:vAnchor="page" w:hAnchor="page" w:x="911" w:y="847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9D62E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E823DA" w:rsidRPr="00E823DA" w:rsidTr="00C53A7D">
        <w:trPr>
          <w:trHeight w:hRule="exact" w:val="1568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302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Квалификация учебно-вспомогательного персонала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% учебно-вспомогательного персонала, </w:t>
            </w:r>
            <w:proofErr w:type="gramStart"/>
            <w:r w:rsidRPr="00E823DA">
              <w:rPr>
                <w:rStyle w:val="212pt1"/>
                <w:rFonts w:eastAsia="Arial Unicode MS"/>
              </w:rPr>
              <w:t>соответствующих</w:t>
            </w:r>
            <w:proofErr w:type="gramEnd"/>
            <w:r w:rsidRPr="00E823DA">
              <w:rPr>
                <w:rStyle w:val="212pt1"/>
                <w:rFonts w:eastAsia="Arial Unicode MS"/>
              </w:rPr>
              <w:t xml:space="preserve"> требованиям </w:t>
            </w:r>
          </w:p>
          <w:p w:rsidR="009D62E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50-70 % - 2 балла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Менее 50% - 1 балл </w:t>
            </w:r>
          </w:p>
          <w:p w:rsidR="00E823DA" w:rsidRPr="00E823DA" w:rsidRDefault="00E823DA" w:rsidP="00E823D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086" w:h="9758" w:wrap="none" w:vAnchor="page" w:hAnchor="page" w:x="911" w:y="847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9D62E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E823DA" w:rsidRPr="00E823DA" w:rsidTr="00C53A7D">
        <w:trPr>
          <w:trHeight w:hRule="exact" w:val="1805"/>
        </w:trPr>
        <w:tc>
          <w:tcPr>
            <w:tcW w:w="2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Доля административно-хозяйственных работников, прошедших за последние 3 года повышение квалификации / профессиональную переподготовку по профилю осуществляемой в образовательной организации деятельности, в общей административно-хозяйственных работников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</w:rPr>
            </w:pPr>
          </w:p>
          <w:p w:rsid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50-70 % - 2 балла 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Менее 50% - 1 балл 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086" w:h="9758" w:wrap="none" w:vAnchor="page" w:hAnchor="page" w:x="911" w:y="847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9D62E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  <w:tr w:rsidR="00E823DA" w:rsidRPr="00E823DA" w:rsidTr="00C53A7D">
        <w:trPr>
          <w:trHeight w:hRule="exact" w:val="241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086" w:h="9758" w:wrap="none" w:vAnchor="page" w:hAnchor="page" w:x="911" w:y="847"/>
              <w:spacing w:line="302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 xml:space="preserve">Должностной состав реализации ООП </w:t>
            </w:r>
            <w:proofErr w:type="gramStart"/>
            <w:r w:rsidRPr="00E823DA">
              <w:rPr>
                <w:rStyle w:val="27"/>
                <w:rFonts w:eastAsiaTheme="majorEastAsia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3DA" w:rsidRPr="00E823DA" w:rsidRDefault="00E823DA" w:rsidP="00774B08">
            <w:pPr>
              <w:framePr w:w="15086" w:h="9758" w:wrap="none" w:vAnchor="page" w:hAnchor="page" w:x="911" w:y="847"/>
              <w:numPr>
                <w:ilvl w:val="0"/>
                <w:numId w:val="1"/>
              </w:numPr>
              <w:tabs>
                <w:tab w:val="left" w:pos="149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 xml:space="preserve">Соответствие должностей педагогических работников содержанию ООП </w:t>
            </w:r>
            <w:proofErr w:type="gramStart"/>
            <w:r w:rsidRPr="00E823DA">
              <w:rPr>
                <w:rStyle w:val="27"/>
                <w:rFonts w:eastAsiaTheme="majorEastAsia"/>
                <w:sz w:val="24"/>
                <w:szCs w:val="24"/>
              </w:rPr>
              <w:t>ДО</w:t>
            </w:r>
            <w:proofErr w:type="gramEnd"/>
          </w:p>
          <w:p w:rsidR="00E823DA" w:rsidRPr="00E823DA" w:rsidRDefault="00E823DA" w:rsidP="00774B08">
            <w:pPr>
              <w:framePr w:w="15086" w:h="9758" w:wrap="none" w:vAnchor="page" w:hAnchor="page" w:x="911" w:y="847"/>
              <w:numPr>
                <w:ilvl w:val="0"/>
                <w:numId w:val="1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  <w:p w:rsidR="00E823DA" w:rsidRPr="00E823DA" w:rsidRDefault="00E823DA" w:rsidP="00774B08">
            <w:pPr>
              <w:framePr w:w="15086" w:h="9758" w:wrap="none" w:vAnchor="page" w:hAnchor="page" w:x="911" w:y="847"/>
              <w:numPr>
                <w:ilvl w:val="0"/>
                <w:numId w:val="1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в штате ДОУ предусмотрена должность музыкального руководителя</w:t>
            </w:r>
          </w:p>
          <w:p w:rsidR="00E823DA" w:rsidRPr="00E823DA" w:rsidRDefault="00E823DA" w:rsidP="00774B08">
            <w:pPr>
              <w:framePr w:w="15086" w:h="9758" w:wrap="none" w:vAnchor="page" w:hAnchor="page" w:x="911" w:y="847"/>
              <w:numPr>
                <w:ilvl w:val="0"/>
                <w:numId w:val="1"/>
              </w:numPr>
              <w:tabs>
                <w:tab w:val="left" w:pos="14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в штате ДОУ предусмотрена должность инструктора по физической культуре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80-100 % - 3 балла </w:t>
            </w:r>
          </w:p>
          <w:p w:rsid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60-79 % - 2 балла </w:t>
            </w:r>
          </w:p>
          <w:p w:rsid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Менее 60% - 1 балл </w:t>
            </w:r>
          </w:p>
          <w:p w:rsidR="00E823DA" w:rsidRPr="00E823DA" w:rsidRDefault="00E823DA" w:rsidP="00510A1A">
            <w:pPr>
              <w:framePr w:w="15086" w:h="9758" w:wrap="none" w:vAnchor="page" w:hAnchor="page" w:x="911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имеется 0 баллов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086" w:h="9758" w:wrap="none" w:vAnchor="page" w:hAnchor="page" w:x="911" w:y="847"/>
              <w:spacing w:line="264" w:lineRule="exact"/>
              <w:jc w:val="center"/>
              <w:rPr>
                <w:rStyle w:val="212pt1"/>
                <w:rFonts w:eastAsia="Arial Unicode MS"/>
                <w:b/>
                <w:color w:val="FF0000"/>
              </w:rPr>
            </w:pPr>
            <w:r w:rsidRPr="009D62E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</w:tr>
    </w:tbl>
    <w:p w:rsidR="00774B08" w:rsidRPr="00E823DA" w:rsidRDefault="00774B08" w:rsidP="00774B08">
      <w:pPr>
        <w:rPr>
          <w:rFonts w:ascii="Times New Roman" w:hAnsi="Times New Roman" w:cs="Times New Roman"/>
        </w:rPr>
        <w:sectPr w:rsidR="00774B08" w:rsidRPr="00E823D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74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5670"/>
        <w:gridCol w:w="4536"/>
        <w:gridCol w:w="4394"/>
      </w:tblGrid>
      <w:tr w:rsidR="00E823DA" w:rsidRPr="00E823DA" w:rsidTr="00C53A7D">
        <w:trPr>
          <w:trHeight w:hRule="exact" w:val="12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2"/>
              </w:numPr>
              <w:tabs>
                <w:tab w:val="left" w:pos="144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в штате ДОУ предусмотрена должность учителя-логопеда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2"/>
              </w:numPr>
              <w:tabs>
                <w:tab w:val="left" w:pos="144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в штате ДОУ предусмотрена должность учителя-дефектолога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2"/>
              </w:numPr>
              <w:tabs>
                <w:tab w:val="left" w:pos="144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в штате ДОУ предусмотрена должность педагога-психолога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2"/>
              </w:numPr>
              <w:tabs>
                <w:tab w:val="left" w:pos="149"/>
              </w:tabs>
              <w:spacing w:line="293" w:lineRule="exact"/>
              <w:jc w:val="both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отсутствие вакансий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rPr>
                <w:rFonts w:ascii="Times New Roman" w:hAnsi="Times New Roman" w:cs="Times New Roman"/>
              </w:rPr>
            </w:pPr>
          </w:p>
        </w:tc>
      </w:tr>
      <w:tr w:rsidR="00E823DA" w:rsidRPr="00E823DA" w:rsidTr="00C53A7D">
        <w:trPr>
          <w:trHeight w:hRule="exact" w:val="12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spacing w:line="298" w:lineRule="exact"/>
              <w:rPr>
                <w:rFonts w:ascii="Times New Roman" w:hAnsi="Times New Roman" w:cs="Times New Roman"/>
              </w:rPr>
            </w:pPr>
            <w:proofErr w:type="gramStart"/>
            <w:r w:rsidRPr="00E823DA">
              <w:rPr>
                <w:rStyle w:val="27"/>
                <w:rFonts w:eastAsiaTheme="majorEastAsia"/>
                <w:sz w:val="24"/>
                <w:szCs w:val="24"/>
              </w:rPr>
              <w:t>Количественный состав реализации ООП ДО, показатель заработной планы педагогических работников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Показатель уровня заработной платы педагогических работников в соответствии со средним уровнем заработной платы по региону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2EA" w:rsidRDefault="00E823DA" w:rsidP="00510A1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Соответствует среднему уровню по региону - 3 балла </w:t>
            </w:r>
          </w:p>
          <w:p w:rsidR="00E823DA" w:rsidRPr="00E823DA" w:rsidRDefault="00E823DA" w:rsidP="00510A1A">
            <w:pPr>
              <w:framePr w:w="15144" w:h="7368" w:wrap="none" w:vAnchor="page" w:hAnchor="page" w:x="854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соответствует 0 баллов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  <w:b/>
                <w:color w:val="FF0000"/>
              </w:rPr>
            </w:pPr>
            <w:r>
              <w:rPr>
                <w:rStyle w:val="212pt1"/>
                <w:rFonts w:eastAsia="Arial Unicode MS"/>
                <w:b/>
                <w:color w:val="FF0000"/>
              </w:rPr>
              <w:t xml:space="preserve">                     3</w:t>
            </w:r>
          </w:p>
        </w:tc>
      </w:tr>
      <w:tr w:rsidR="00E823DA" w:rsidRPr="00E823DA" w:rsidTr="00C53A7D">
        <w:trPr>
          <w:trHeight w:hRule="exact" w:val="32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spacing w:line="302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3"/>
              </w:numPr>
              <w:tabs>
                <w:tab w:val="left" w:pos="158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Способность педагогических работников обеспечивать эмоциональное благополучие детей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3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способность педагогических работников обеспечивать поддержку индивидуальности и инициативы детей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3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способность педагогических работников устанавливать правила взаимодействия в разных ситуациях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3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E823DA" w:rsidRPr="00E823DA" w:rsidRDefault="00E823DA" w:rsidP="00774B08">
            <w:pPr>
              <w:framePr w:w="15144" w:h="7368" w:wrap="none" w:vAnchor="page" w:hAnchor="page" w:x="854" w:y="847"/>
              <w:numPr>
                <w:ilvl w:val="0"/>
                <w:numId w:val="3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2EA" w:rsidRDefault="00E823DA" w:rsidP="00510A1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Соответствует 3 балла </w:t>
            </w:r>
          </w:p>
          <w:p w:rsidR="009D62EA" w:rsidRDefault="00E823DA" w:rsidP="00510A1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В не полном объёме 2 балла </w:t>
            </w:r>
          </w:p>
          <w:p w:rsidR="009D62EA" w:rsidRDefault="00E823DA" w:rsidP="00510A1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Частично соблюдается 1 балл </w:t>
            </w:r>
          </w:p>
          <w:p w:rsidR="00E823DA" w:rsidRPr="00E823DA" w:rsidRDefault="00E823DA" w:rsidP="00510A1A">
            <w:pPr>
              <w:framePr w:w="15144" w:h="7368" w:wrap="none" w:vAnchor="page" w:hAnchor="page" w:x="854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соблюдается 0 балл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  <w:b/>
                <w:color w:val="FF0000"/>
              </w:rPr>
            </w:pPr>
            <w:r>
              <w:rPr>
                <w:rStyle w:val="212pt1"/>
                <w:rFonts w:eastAsia="Arial Unicode MS"/>
                <w:b/>
                <w:color w:val="FF0000"/>
              </w:rPr>
              <w:t xml:space="preserve">                     3</w:t>
            </w:r>
          </w:p>
        </w:tc>
      </w:tr>
      <w:tr w:rsidR="00E823DA" w:rsidRPr="00E823DA" w:rsidTr="00C53A7D">
        <w:trPr>
          <w:trHeight w:hRule="exact" w:val="1649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spacing w:line="298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spacing w:line="302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Продолжительный стаж работы педагогических работников в данном учреждении (более 10 лет)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62EA" w:rsidRDefault="00E823DA" w:rsidP="009D62E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70-100 % - 3 балла </w:t>
            </w:r>
          </w:p>
          <w:p w:rsidR="009D62EA" w:rsidRDefault="00E823DA" w:rsidP="009D62E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50-70 % - 2 балла </w:t>
            </w:r>
          </w:p>
          <w:p w:rsidR="009D62EA" w:rsidRDefault="00E823DA" w:rsidP="009D62E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</w:rPr>
            </w:pPr>
            <w:r w:rsidRPr="00E823DA">
              <w:rPr>
                <w:rStyle w:val="212pt1"/>
                <w:rFonts w:eastAsia="Arial Unicode MS"/>
              </w:rPr>
              <w:t xml:space="preserve">Менее 50% - 1 балл </w:t>
            </w:r>
          </w:p>
          <w:p w:rsidR="00E823DA" w:rsidRPr="00E823DA" w:rsidRDefault="00E823DA" w:rsidP="009D62EA">
            <w:pPr>
              <w:framePr w:w="15144" w:h="7368" w:wrap="none" w:vAnchor="page" w:hAnchor="page" w:x="854" w:y="847"/>
              <w:spacing w:line="264" w:lineRule="exact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Style w:val="212pt1"/>
                <w:rFonts w:eastAsia="Arial Unicode MS"/>
              </w:rPr>
              <w:t xml:space="preserve">Не имеется 0 баллов - </w:t>
            </w:r>
            <w:r w:rsidRPr="00E823DA">
              <w:rPr>
                <w:rStyle w:val="212pt1"/>
                <w:rFonts w:eastAsia="Arial Unicode MS"/>
                <w:b/>
                <w:color w:val="FF0000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9D62EA" w:rsidRDefault="009D62EA" w:rsidP="009D62EA">
            <w:pPr>
              <w:framePr w:w="15144" w:h="7368" w:wrap="none" w:vAnchor="page" w:hAnchor="page" w:x="854" w:y="847"/>
              <w:spacing w:line="264" w:lineRule="exact"/>
              <w:rPr>
                <w:rStyle w:val="212pt1"/>
                <w:rFonts w:eastAsia="Arial Unicode MS"/>
                <w:b/>
                <w:color w:val="FF0000"/>
              </w:rPr>
            </w:pPr>
            <w:r>
              <w:rPr>
                <w:rStyle w:val="212pt1"/>
                <w:rFonts w:eastAsia="Arial Unicode MS"/>
                <w:b/>
                <w:color w:val="FF0000"/>
              </w:rPr>
              <w:t xml:space="preserve">                     3</w:t>
            </w:r>
          </w:p>
        </w:tc>
      </w:tr>
      <w:tr w:rsidR="00E823DA" w:rsidRPr="00E823DA" w:rsidTr="00C53A7D">
        <w:trPr>
          <w:trHeight w:hRule="exact" w:val="322"/>
        </w:trPr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12pt"/>
                <w:rFonts w:eastAsia="Arial Unicode MS"/>
              </w:rPr>
              <w:t>Средний балл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3DA" w:rsidRPr="00E823DA" w:rsidRDefault="00E823DA" w:rsidP="00510A1A">
            <w:pPr>
              <w:framePr w:w="15144" w:h="7368" w:wrap="none" w:vAnchor="page" w:hAnchor="page" w:x="854" w:y="847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3DA" w:rsidRPr="00E823DA" w:rsidRDefault="009D62EA" w:rsidP="009D62EA">
            <w:pPr>
              <w:framePr w:w="15144" w:h="7368" w:wrap="none" w:vAnchor="page" w:hAnchor="page" w:x="854" w:y="8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</w:tbl>
    <w:p w:rsidR="00774B08" w:rsidRPr="00E823DA" w:rsidRDefault="00774B08" w:rsidP="00774B08">
      <w:pPr>
        <w:framePr w:wrap="none" w:vAnchor="page" w:hAnchor="page" w:x="983" w:y="8548"/>
        <w:spacing w:line="280" w:lineRule="exact"/>
        <w:rPr>
          <w:rFonts w:ascii="Times New Roman" w:hAnsi="Times New Roman" w:cs="Times New Roman"/>
        </w:rPr>
      </w:pPr>
      <w:bookmarkStart w:id="0" w:name="bookmark63"/>
      <w:r w:rsidRPr="00E823DA">
        <w:rPr>
          <w:rStyle w:val="28"/>
          <w:rFonts w:eastAsiaTheme="majorEastAsia"/>
          <w:sz w:val="24"/>
          <w:szCs w:val="24"/>
        </w:rPr>
        <w:t>Обработка результатов: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554"/>
        <w:gridCol w:w="7237"/>
        <w:gridCol w:w="3119"/>
        <w:gridCol w:w="2412"/>
      </w:tblGrid>
      <w:tr w:rsidR="00774B08" w:rsidRPr="00E823DA" w:rsidTr="009D62EA">
        <w:trPr>
          <w:trHeight w:hRule="exact" w:val="28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11pt"/>
                <w:rFonts w:eastAsiaTheme="majorEastAsia"/>
                <w:sz w:val="24"/>
                <w:szCs w:val="24"/>
              </w:rPr>
              <w:t>Уровень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11pt"/>
                <w:rFonts w:eastAsiaTheme="majorEastAsia"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9D62EA" w:rsidP="00510A1A">
            <w:pPr>
              <w:framePr w:w="15322" w:h="1526" w:wrap="none" w:vAnchor="page" w:hAnchor="page" w:x="854" w:y="8848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1pt"/>
                <w:rFonts w:eastAsiaTheme="majorEastAsia"/>
                <w:sz w:val="24"/>
                <w:szCs w:val="24"/>
              </w:rPr>
              <w:t>Общая сумма</w:t>
            </w:r>
            <w:r w:rsidR="00774B08" w:rsidRPr="00E823DA">
              <w:rPr>
                <w:rStyle w:val="211pt"/>
                <w:rFonts w:eastAsiaTheme="majorEastAsia"/>
                <w:sz w:val="24"/>
                <w:szCs w:val="24"/>
              </w:rPr>
              <w:t xml:space="preserve"> балл</w:t>
            </w:r>
            <w:r>
              <w:rPr>
                <w:rStyle w:val="211pt"/>
                <w:rFonts w:eastAsiaTheme="majorEastAsia"/>
                <w:sz w:val="24"/>
                <w:szCs w:val="24"/>
              </w:rPr>
              <w:t>ов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11pt"/>
                <w:rFonts w:eastAsiaTheme="majorEastAsia"/>
                <w:sz w:val="24"/>
                <w:szCs w:val="24"/>
              </w:rPr>
              <w:t>Диапазон</w:t>
            </w:r>
          </w:p>
        </w:tc>
      </w:tr>
      <w:tr w:rsidR="00774B08" w:rsidRPr="00E823DA" w:rsidTr="009D62EA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Высокий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Показатель ярко выражен и стабилен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2,4-3</w:t>
            </w:r>
          </w:p>
        </w:tc>
      </w:tr>
      <w:tr w:rsidR="00774B08" w:rsidRPr="00E823DA" w:rsidTr="009D62EA">
        <w:trPr>
          <w:trHeight w:hRule="exact" w:val="30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Средний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Показатель выражен удовлетворительно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1,6-2,3</w:t>
            </w:r>
          </w:p>
        </w:tc>
      </w:tr>
      <w:tr w:rsidR="00774B08" w:rsidRPr="00E823DA" w:rsidTr="009D62E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Низкий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Показатель слабо выражен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0,7-1,5</w:t>
            </w:r>
          </w:p>
        </w:tc>
      </w:tr>
      <w:tr w:rsidR="00774B08" w:rsidRPr="00E823DA" w:rsidTr="009D62E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E823DA">
              <w:rPr>
                <w:rStyle w:val="27"/>
                <w:rFonts w:eastAsiaTheme="majorEastAsia"/>
                <w:sz w:val="24"/>
                <w:szCs w:val="24"/>
              </w:rPr>
              <w:t>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rPr>
                <w:rFonts w:ascii="Times New Roman" w:hAnsi="Times New Roman" w:cs="Times New Roman"/>
              </w:rPr>
            </w:pPr>
          </w:p>
        </w:tc>
      </w:tr>
      <w:tr w:rsidR="00774B08" w:rsidRPr="00E823DA" w:rsidTr="009D62EA">
        <w:trPr>
          <w:trHeight w:hRule="exact" w:val="31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rPr>
                <w:rFonts w:ascii="Times New Roman" w:hAnsi="Times New Roman" w:cs="Times New Roman"/>
              </w:rPr>
            </w:pP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rPr>
                <w:rStyle w:val="27"/>
                <w:rFonts w:eastAsiaTheme="maj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spacing w:line="260" w:lineRule="exact"/>
              <w:jc w:val="center"/>
              <w:rPr>
                <w:rStyle w:val="27"/>
                <w:rFonts w:eastAsiaTheme="majorEastAsia"/>
                <w:b/>
                <w:color w:val="FF0000"/>
                <w:sz w:val="24"/>
                <w:szCs w:val="24"/>
              </w:rPr>
            </w:pPr>
            <w:r w:rsidRPr="00E823DA">
              <w:rPr>
                <w:rStyle w:val="27"/>
                <w:rFonts w:eastAsiaTheme="majorEastAsia"/>
                <w:color w:val="FF0000"/>
                <w:sz w:val="24"/>
                <w:szCs w:val="24"/>
              </w:rPr>
              <w:t>4</w:t>
            </w:r>
            <w:r w:rsidR="009D62EA">
              <w:rPr>
                <w:rStyle w:val="27"/>
                <w:rFonts w:eastAsiaTheme="major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8" w:rsidRPr="00E823DA" w:rsidRDefault="00774B08" w:rsidP="00510A1A">
            <w:pPr>
              <w:framePr w:w="15322" w:h="1526" w:wrap="none" w:vAnchor="page" w:hAnchor="page" w:x="854" w:y="884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823DA">
              <w:rPr>
                <w:rFonts w:ascii="Times New Roman" w:hAnsi="Times New Roman" w:cs="Times New Roman"/>
                <w:b/>
                <w:color w:val="FF0000"/>
              </w:rPr>
              <w:t>2,8</w:t>
            </w:r>
          </w:p>
        </w:tc>
      </w:tr>
    </w:tbl>
    <w:p w:rsidR="00774B08" w:rsidRPr="00E823DA" w:rsidRDefault="00774B08" w:rsidP="00E823DA">
      <w:pPr>
        <w:framePr w:w="14738" w:wrap="auto" w:hAnchor="text"/>
        <w:rPr>
          <w:rFonts w:ascii="Times New Roman" w:hAnsi="Times New Roman" w:cs="Times New Roman"/>
        </w:rPr>
        <w:sectPr w:rsidR="00774B08" w:rsidRPr="00E823D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B2E78" w:rsidRDefault="00EB2E78" w:rsidP="009D62EA"/>
    <w:sectPr w:rsidR="00EB2E78" w:rsidSect="00774B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3D8"/>
    <w:multiLevelType w:val="multilevel"/>
    <w:tmpl w:val="36D86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2550B"/>
    <w:multiLevelType w:val="multilevel"/>
    <w:tmpl w:val="A3E40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24D2C"/>
    <w:multiLevelType w:val="multilevel"/>
    <w:tmpl w:val="9E0EE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74B08"/>
    <w:rsid w:val="001D3322"/>
    <w:rsid w:val="003F6260"/>
    <w:rsid w:val="0074049D"/>
    <w:rsid w:val="00774B08"/>
    <w:rsid w:val="009423E1"/>
    <w:rsid w:val="0097434D"/>
    <w:rsid w:val="009D62EA"/>
    <w:rsid w:val="00A70542"/>
    <w:rsid w:val="00C53A7D"/>
    <w:rsid w:val="00CC59D8"/>
    <w:rsid w:val="00E823DA"/>
    <w:rsid w:val="00EB2D8C"/>
    <w:rsid w:val="00EB2E78"/>
    <w:rsid w:val="00F5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B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7054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2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2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2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2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54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54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5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542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A705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542"/>
    <w:rPr>
      <w:b/>
      <w:bCs/>
      <w:spacing w:val="0"/>
    </w:rPr>
  </w:style>
  <w:style w:type="character" w:styleId="a9">
    <w:name w:val="Emphasis"/>
    <w:uiPriority w:val="20"/>
    <w:qFormat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542"/>
  </w:style>
  <w:style w:type="paragraph" w:styleId="ab">
    <w:name w:val="List Paragraph"/>
    <w:basedOn w:val="a"/>
    <w:uiPriority w:val="34"/>
    <w:qFormat/>
    <w:rsid w:val="00A705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542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05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5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5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5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5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5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542"/>
    <w:pPr>
      <w:outlineLvl w:val="9"/>
    </w:pPr>
  </w:style>
  <w:style w:type="character" w:customStyle="1" w:styleId="23">
    <w:name w:val="Колонтитул (2)_"/>
    <w:basedOn w:val="a0"/>
    <w:link w:val="24"/>
    <w:rsid w:val="00774B0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_"/>
    <w:basedOn w:val="a0"/>
    <w:rsid w:val="00774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rsid w:val="00774B0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Курсив"/>
    <w:basedOn w:val="25"/>
    <w:rsid w:val="00774B08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7">
    <w:name w:val="Основной текст (2)"/>
    <w:basedOn w:val="25"/>
    <w:rsid w:val="00774B0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5"/>
    <w:rsid w:val="00774B0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Заголовок №2"/>
    <w:basedOn w:val="26"/>
    <w:rsid w:val="00774B0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Заголовок №2 + 12 pt;Не курсив"/>
    <w:basedOn w:val="26"/>
    <w:rsid w:val="00774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5"/>
    <w:rsid w:val="00774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4">
    <w:name w:val="Колонтитул (2)"/>
    <w:basedOn w:val="a"/>
    <w:link w:val="23"/>
    <w:rsid w:val="00774B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7</cp:revision>
  <cp:lastPrinted>2024-06-13T14:52:00Z</cp:lastPrinted>
  <dcterms:created xsi:type="dcterms:W3CDTF">2024-06-07T14:56:00Z</dcterms:created>
  <dcterms:modified xsi:type="dcterms:W3CDTF">2024-06-17T10:57:00Z</dcterms:modified>
</cp:coreProperties>
</file>